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38662C" w:rsidRPr="0080636E" w:rsidRDefault="0038662C" w:rsidP="0038662C">
      <w:pPr>
        <w:jc w:val="center"/>
        <w:rPr>
          <w:rFonts w:ascii="微軟正黑體" w:eastAsia="微軟正黑體" w:hAnsi="微軟正黑體"/>
          <w:sz w:val="48"/>
          <w:szCs w:val="48"/>
        </w:rPr>
      </w:pPr>
      <w:r w:rsidRPr="0080636E">
        <w:rPr>
          <w:rFonts w:ascii="微軟正黑體" w:eastAsia="微軟正黑體" w:hAnsi="微軟正黑體" w:hint="eastAsia"/>
          <w:sz w:val="48"/>
          <w:szCs w:val="48"/>
        </w:rPr>
        <w:t>認識基載、中載、尖載</w:t>
      </w:r>
    </w:p>
    <w:p w:rsidR="0038662C" w:rsidRDefault="0038662C" w:rsidP="0038662C">
      <w:pPr>
        <w:spacing w:line="520" w:lineRule="exact"/>
        <w:ind w:firstLineChars="200" w:firstLine="480"/>
        <w:rPr>
          <w:rFonts w:ascii="微軟正黑體" w:eastAsia="微軟正黑體" w:hAnsi="微軟正黑體"/>
        </w:rPr>
      </w:pPr>
      <w:r w:rsidRPr="0080636E">
        <w:rPr>
          <w:rFonts w:ascii="微軟正黑體" w:eastAsia="微軟正黑體" w:hAnsi="微軟正黑體"/>
        </w:rPr>
        <w:t>發電廠只能發出交流電，而交流電是無法儲存的，所以電要即發即用電力公司需適時調配發電機組發電，滿足大家的用電需求，電力供給分依各類能源發電特性將其分為「基載」、「中載」、「</w:t>
      </w:r>
      <w:proofErr w:type="gramStart"/>
      <w:r w:rsidRPr="0080636E">
        <w:rPr>
          <w:rFonts w:ascii="微軟正黑體" w:eastAsia="微軟正黑體" w:hAnsi="微軟正黑體"/>
        </w:rPr>
        <w:t>尖載</w:t>
      </w:r>
      <w:proofErr w:type="gramEnd"/>
      <w:r w:rsidRPr="0080636E">
        <w:rPr>
          <w:rFonts w:ascii="微軟正黑體" w:eastAsia="微軟正黑體" w:hAnsi="微軟正黑體"/>
        </w:rPr>
        <w:t>」。</w:t>
      </w:r>
    </w:p>
    <w:p w:rsidR="0038662C" w:rsidRDefault="0038662C" w:rsidP="0038662C">
      <w:pPr>
        <w:spacing w:line="520" w:lineRule="exact"/>
        <w:ind w:firstLineChars="200" w:firstLine="480"/>
        <w:rPr>
          <w:rFonts w:ascii="微軟正黑體" w:eastAsia="微軟正黑體" w:hAnsi="微軟正黑體"/>
        </w:rPr>
      </w:pPr>
      <w:r>
        <w:rPr>
          <w:rFonts w:ascii="微軟正黑體" w:eastAsia="微軟正黑體" w:hAnsi="微軟正黑體" w:hint="eastAsia"/>
        </w:rPr>
        <w:t>基載：</w:t>
      </w:r>
      <w:proofErr w:type="gramStart"/>
      <w:r>
        <w:rPr>
          <w:rFonts w:ascii="微軟正黑體" w:eastAsia="微軟正黑體" w:hAnsi="微軟正黑體" w:hint="eastAsia"/>
        </w:rPr>
        <w:t>基組需</w:t>
      </w:r>
      <w:proofErr w:type="gramEnd"/>
      <w:r>
        <w:rPr>
          <w:rFonts w:ascii="微軟正黑體" w:eastAsia="微軟正黑體" w:hAnsi="微軟正黑體" w:hint="eastAsia"/>
        </w:rPr>
        <w:t>滿足</w:t>
      </w:r>
      <w:r w:rsidRPr="00F833F4">
        <w:rPr>
          <w:rFonts w:ascii="微軟正黑體" w:eastAsia="微軟正黑體" w:hAnsi="微軟正黑體" w:hint="eastAsia"/>
          <w:color w:val="0070C0"/>
          <w:u w:val="single"/>
        </w:rPr>
        <w:t>可長時間連續運轉且發電成本低之特性</w:t>
      </w:r>
      <w:r>
        <w:rPr>
          <w:rFonts w:ascii="微軟正黑體" w:eastAsia="微軟正黑體" w:hAnsi="微軟正黑體" w:hint="eastAsia"/>
        </w:rPr>
        <w:t>，如核能及燃煤火力等。</w:t>
      </w:r>
    </w:p>
    <w:p w:rsidR="0038662C" w:rsidRDefault="0038662C" w:rsidP="0038662C">
      <w:pPr>
        <w:spacing w:line="520" w:lineRule="exact"/>
        <w:ind w:firstLineChars="200" w:firstLine="480"/>
        <w:rPr>
          <w:rFonts w:ascii="微軟正黑體" w:eastAsia="微軟正黑體" w:hAnsi="微軟正黑體"/>
        </w:rPr>
      </w:pPr>
      <w:r>
        <w:rPr>
          <w:rFonts w:ascii="微軟正黑體" w:eastAsia="微軟正黑體" w:hAnsi="微軟正黑體" w:hint="eastAsia"/>
        </w:rPr>
        <w:t>中載：介於基載</w:t>
      </w:r>
      <w:proofErr w:type="gramStart"/>
      <w:r>
        <w:rPr>
          <w:rFonts w:ascii="微軟正黑體" w:eastAsia="微軟正黑體" w:hAnsi="微軟正黑體" w:hint="eastAsia"/>
        </w:rPr>
        <w:t>與尖載特性</w:t>
      </w:r>
      <w:proofErr w:type="gramEnd"/>
      <w:r>
        <w:rPr>
          <w:rFonts w:ascii="微軟正黑體" w:eastAsia="微軟正黑體" w:hAnsi="微軟正黑體" w:hint="eastAsia"/>
        </w:rPr>
        <w:t>間之機組，即供應基載與</w:t>
      </w:r>
      <w:proofErr w:type="gramStart"/>
      <w:r>
        <w:rPr>
          <w:rFonts w:ascii="微軟正黑體" w:eastAsia="微軟正黑體" w:hAnsi="微軟正黑體" w:hint="eastAsia"/>
        </w:rPr>
        <w:t>尖載間的</w:t>
      </w:r>
      <w:proofErr w:type="gramEnd"/>
      <w:r>
        <w:rPr>
          <w:rFonts w:ascii="微軟正黑體" w:eastAsia="微軟正黑體" w:hAnsi="微軟正黑體" w:hint="eastAsia"/>
        </w:rPr>
        <w:t>用電負載，它必須可接受調度，於</w:t>
      </w:r>
      <w:r w:rsidRPr="005E44C0">
        <w:rPr>
          <w:rFonts w:ascii="微軟正黑體" w:eastAsia="微軟正黑體" w:hAnsi="微軟正黑體" w:hint="eastAsia"/>
          <w:i/>
          <w:color w:val="0070C0"/>
        </w:rPr>
        <w:t>早上清晨</w:t>
      </w:r>
      <w:proofErr w:type="gramStart"/>
      <w:r w:rsidRPr="005E44C0">
        <w:rPr>
          <w:rFonts w:ascii="微軟正黑體" w:eastAsia="微軟正黑體" w:hAnsi="微軟正黑體" w:hint="eastAsia"/>
          <w:i/>
          <w:color w:val="0070C0"/>
        </w:rPr>
        <w:t>時升載或併</w:t>
      </w:r>
      <w:proofErr w:type="gramEnd"/>
      <w:r w:rsidRPr="005E44C0">
        <w:rPr>
          <w:rFonts w:ascii="微軟正黑體" w:eastAsia="微軟正黑體" w:hAnsi="微軟正黑體" w:hint="eastAsia"/>
          <w:i/>
          <w:color w:val="0070C0"/>
        </w:rPr>
        <w:t>聯發電，於深夜用電離峰期間則降載運轉，</w:t>
      </w:r>
      <w:proofErr w:type="gramStart"/>
      <w:r w:rsidRPr="005E44C0">
        <w:rPr>
          <w:rFonts w:ascii="微軟正黑體" w:eastAsia="微軟正黑體" w:hAnsi="微軟正黑體" w:hint="eastAsia"/>
          <w:i/>
          <w:color w:val="0070C0"/>
        </w:rPr>
        <w:t>或解聯停止</w:t>
      </w:r>
      <w:proofErr w:type="gramEnd"/>
      <w:r w:rsidRPr="005E44C0">
        <w:rPr>
          <w:rFonts w:ascii="微軟正黑體" w:eastAsia="微軟正黑體" w:hAnsi="微軟正黑體" w:hint="eastAsia"/>
          <w:i/>
          <w:color w:val="0070C0"/>
        </w:rPr>
        <w:t>發電</w:t>
      </w:r>
      <w:r>
        <w:rPr>
          <w:rFonts w:ascii="微軟正黑體" w:eastAsia="微軟正黑體" w:hAnsi="微軟正黑體" w:hint="eastAsia"/>
        </w:rPr>
        <w:t>，如調整池水力、燃油與</w:t>
      </w:r>
      <w:proofErr w:type="gramStart"/>
      <w:r>
        <w:rPr>
          <w:rFonts w:ascii="微軟正黑體" w:eastAsia="微軟正黑體" w:hAnsi="微軟正黑體" w:hint="eastAsia"/>
        </w:rPr>
        <w:t>燃氣汽力</w:t>
      </w:r>
      <w:proofErr w:type="gramEnd"/>
      <w:r>
        <w:rPr>
          <w:rFonts w:ascii="微軟正黑體" w:eastAsia="微軟正黑體" w:hAnsi="微軟正黑體" w:hint="eastAsia"/>
        </w:rPr>
        <w:t>機組及</w:t>
      </w:r>
      <w:proofErr w:type="gramStart"/>
      <w:r>
        <w:rPr>
          <w:rFonts w:ascii="微軟正黑體" w:eastAsia="微軟正黑體" w:hAnsi="微軟正黑體" w:hint="eastAsia"/>
        </w:rPr>
        <w:t>複</w:t>
      </w:r>
      <w:proofErr w:type="gramEnd"/>
      <w:r>
        <w:rPr>
          <w:rFonts w:ascii="微軟正黑體" w:eastAsia="微軟正黑體" w:hAnsi="微軟正黑體" w:hint="eastAsia"/>
        </w:rPr>
        <w:t>循環機組等。</w:t>
      </w:r>
    </w:p>
    <w:p w:rsidR="0038662C" w:rsidRDefault="0038662C" w:rsidP="0038662C">
      <w:pPr>
        <w:spacing w:line="520" w:lineRule="exact"/>
        <w:ind w:firstLineChars="200" w:firstLine="480"/>
        <w:rPr>
          <w:rFonts w:ascii="微軟正黑體" w:eastAsia="微軟正黑體" w:hAnsi="微軟正黑體"/>
        </w:rPr>
      </w:pPr>
      <w:proofErr w:type="gramStart"/>
      <w:r>
        <w:rPr>
          <w:rFonts w:ascii="微軟正黑體" w:eastAsia="微軟正黑體" w:hAnsi="微軟正黑體" w:hint="eastAsia"/>
        </w:rPr>
        <w:t>尖載</w:t>
      </w:r>
      <w:proofErr w:type="gramEnd"/>
      <w:r>
        <w:rPr>
          <w:rFonts w:ascii="微軟正黑體" w:eastAsia="微軟正黑體" w:hAnsi="微軟正黑體" w:hint="eastAsia"/>
        </w:rPr>
        <w:t>：</w:t>
      </w:r>
      <w:proofErr w:type="gramStart"/>
      <w:r>
        <w:rPr>
          <w:rFonts w:ascii="微軟正黑體" w:eastAsia="微軟正黑體" w:hAnsi="微軟正黑體" w:hint="eastAsia"/>
        </w:rPr>
        <w:t>必須具</w:t>
      </w:r>
      <w:r w:rsidRPr="005E44C0">
        <w:rPr>
          <w:rFonts w:ascii="微軟正黑體" w:eastAsia="微軟正黑體" w:hAnsi="微軟正黑體" w:hint="eastAsia"/>
          <w:b/>
          <w:color w:val="C00000"/>
        </w:rPr>
        <w:t>起</w:t>
      </w:r>
      <w:proofErr w:type="gramEnd"/>
      <w:r w:rsidRPr="005E44C0">
        <w:rPr>
          <w:rFonts w:ascii="微軟正黑體" w:eastAsia="微軟正黑體" w:hAnsi="微軟正黑體" w:hint="eastAsia"/>
          <w:b/>
          <w:color w:val="C00000"/>
        </w:rPr>
        <w:t>、停快速</w:t>
      </w:r>
      <w:r>
        <w:rPr>
          <w:rFonts w:ascii="微軟正黑體" w:eastAsia="微軟正黑體" w:hAnsi="微軟正黑體" w:hint="eastAsia"/>
        </w:rPr>
        <w:t>之能力，可適時增加出力，滿足尖峰用電需求，如抽蓄水力、水庫式</w:t>
      </w:r>
      <w:proofErr w:type="gramStart"/>
      <w:r>
        <w:rPr>
          <w:rFonts w:ascii="微軟正黑體" w:eastAsia="微軟正黑體" w:hAnsi="微軟正黑體" w:hint="eastAsia"/>
        </w:rPr>
        <w:t>水力及氣渦輪機</w:t>
      </w:r>
      <w:proofErr w:type="gramEnd"/>
      <w:r>
        <w:rPr>
          <w:rFonts w:ascii="微軟正黑體" w:eastAsia="微軟正黑體" w:hAnsi="微軟正黑體" w:hint="eastAsia"/>
        </w:rPr>
        <w:t>等。</w:t>
      </w:r>
    </w:p>
    <w:p w:rsidR="0038662C" w:rsidRPr="00B04E12" w:rsidRDefault="0038662C" w:rsidP="0038662C">
      <w:pPr>
        <w:spacing w:line="520" w:lineRule="exact"/>
        <w:ind w:firstLineChars="200" w:firstLine="480"/>
        <w:rPr>
          <w:rFonts w:ascii="微軟正黑體" w:eastAsia="微軟正黑體" w:hAnsi="微軟正黑體"/>
        </w:rPr>
      </w:pPr>
      <w:r w:rsidRPr="00B04E12">
        <w:rPr>
          <w:rFonts w:ascii="微軟正黑體" w:eastAsia="微軟正黑體" w:hAnsi="微軟正黑體"/>
        </w:rPr>
        <w:t>電力公司的標準做法通常是：</w:t>
      </w:r>
      <w:r w:rsidRPr="005E44C0">
        <w:rPr>
          <w:rFonts w:ascii="微軟正黑體" w:eastAsia="微軟正黑體" w:hAnsi="微軟正黑體"/>
          <w:color w:val="0070C0"/>
        </w:rPr>
        <w:t>讓發電成本較低的「基載機組」滿載運轉，以滿足基本的電力需求，但同時必需讓部份「</w:t>
      </w:r>
      <w:proofErr w:type="gramStart"/>
      <w:r w:rsidRPr="005E44C0">
        <w:rPr>
          <w:rFonts w:ascii="微軟正黑體" w:eastAsia="微軟正黑體" w:hAnsi="微軟正黑體"/>
          <w:color w:val="0070C0"/>
        </w:rPr>
        <w:t>尖載機組</w:t>
      </w:r>
      <w:proofErr w:type="gramEnd"/>
      <w:r w:rsidRPr="005E44C0">
        <w:rPr>
          <w:rFonts w:ascii="微軟正黑體" w:eastAsia="微軟正黑體" w:hAnsi="微軟正黑體"/>
          <w:color w:val="0070C0"/>
        </w:rPr>
        <w:t>」或「中載機組」保持於待命狀態，以隨時因應電力需求的變化</w:t>
      </w:r>
      <w:r w:rsidRPr="00B04E12">
        <w:rPr>
          <w:rFonts w:ascii="微軟正黑體" w:eastAsia="微軟正黑體" w:hAnsi="微軟正黑體"/>
        </w:rPr>
        <w:t>。因此電力公司通常會以穩定性較高且成本較低的燃煤與核能發電當基載電力。基載的重要性就是提供穩定且合理的電價。</w:t>
      </w:r>
    </w:p>
    <w:p w:rsidR="00AC6266" w:rsidRPr="0038662C" w:rsidRDefault="0038662C" w:rsidP="0038662C">
      <w:pPr>
        <w:ind w:firstLineChars="200" w:firstLine="480"/>
        <w:jc w:val="center"/>
        <w:rPr>
          <w:rFonts w:ascii="微軟正黑體" w:eastAsia="微軟正黑體" w:hAnsi="微軟正黑體"/>
        </w:rPr>
      </w:pPr>
      <w:r>
        <w:rPr>
          <w:rFonts w:ascii="微軟正黑體" w:eastAsia="微軟正黑體" w:hAnsi="微軟正黑體"/>
          <w:noProof/>
        </w:rPr>
        <w:pict>
          <v:shapetype id="_x0000_t202" coordsize="21600,21600" o:spt="202" path="m,l,21600r21600,l21600,xe">
            <v:stroke joinstyle="miter"/>
            <v:path gradientshapeok="t" o:connecttype="rect"/>
          </v:shapetype>
          <v:shape id="_x0000_s1026" type="#_x0000_t202" style="position:absolute;left:0;text-align:left;margin-left:3.95pt;margin-top:281pt;width:165.9pt;height:25.2pt;z-index:251658240;mso-width-percent:400;mso-height-percent:200;mso-width-percent:400;mso-height-percent:200;mso-width-relative:margin;mso-height-relative:margin" filled="f" stroked="f">
            <v:textbox style="mso-fit-shape-to-text:t">
              <w:txbxContent>
                <w:p w:rsidR="0038662C" w:rsidRPr="00B04E12" w:rsidRDefault="0038662C" w:rsidP="0038662C">
                  <w:pPr>
                    <w:rPr>
                      <w:rFonts w:ascii="微軟正黑體" w:eastAsia="微軟正黑體" w:hAnsi="微軟正黑體"/>
                      <w:sz w:val="16"/>
                      <w:szCs w:val="16"/>
                    </w:rPr>
                  </w:pPr>
                  <w:r w:rsidRPr="00B04E12">
                    <w:rPr>
                      <w:rFonts w:ascii="微軟正黑體" w:eastAsia="微軟正黑體" w:hAnsi="微軟正黑體" w:hint="eastAsia"/>
                      <w:sz w:val="16"/>
                      <w:szCs w:val="16"/>
                    </w:rPr>
                    <w:t>資料來源:台灣電力公司、核為真相 網站</w:t>
                  </w:r>
                </w:p>
              </w:txbxContent>
            </v:textbox>
          </v:shape>
        </w:pict>
      </w:r>
      <w:r>
        <w:rPr>
          <w:noProof/>
        </w:rPr>
        <w:drawing>
          <wp:inline distT="0" distB="0" distL="0" distR="0">
            <wp:extent cx="3343275" cy="3259693"/>
            <wp:effectExtent l="19050" t="0" r="9525" b="0"/>
            <wp:docPr id="1" name="圖片 1" descr="什麼是基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什麼是基載？"/>
                    <pic:cNvPicPr>
                      <a:picLocks noChangeAspect="1" noChangeArrowheads="1"/>
                    </pic:cNvPicPr>
                  </pic:nvPicPr>
                  <pic:blipFill>
                    <a:blip r:embed="rId4" cstate="print"/>
                    <a:srcRect/>
                    <a:stretch>
                      <a:fillRect/>
                    </a:stretch>
                  </pic:blipFill>
                  <pic:spPr bwMode="auto">
                    <a:xfrm>
                      <a:off x="0" y="0"/>
                      <a:ext cx="3343275" cy="3259693"/>
                    </a:xfrm>
                    <a:prstGeom prst="rect">
                      <a:avLst/>
                    </a:prstGeom>
                    <a:noFill/>
                    <a:ln w="9525">
                      <a:noFill/>
                      <a:miter lim="800000"/>
                      <a:headEnd/>
                      <a:tailEnd/>
                    </a:ln>
                  </pic:spPr>
                </pic:pic>
              </a:graphicData>
            </a:graphic>
          </wp:inline>
        </w:drawing>
      </w:r>
    </w:p>
    <w:sectPr w:rsidR="00AC6266" w:rsidRPr="0038662C" w:rsidSect="00AC6266">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662C"/>
    <w:rsid w:val="00370853"/>
    <w:rsid w:val="0038662C"/>
    <w:rsid w:val="00AC62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62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662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8662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2017-01-18T01:24:00Z</dcterms:created>
  <dcterms:modified xsi:type="dcterms:W3CDTF">2017-01-18T01:33:00Z</dcterms:modified>
</cp:coreProperties>
</file>